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130" w:rsidRPr="00F0585E" w:rsidP="00A4313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№05-0280/2604/2025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9, каб. 209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11 марта 2025 года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с участием ПРИВЛЕКАЕМОГО ЛИЦА Бутаев У.Г., дело об административном правонарушении, предусмотренном частью 2 статьи 14.1 КоАП РФ, в отношении 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Бутаева Умеджона Гуломжоновича,  ранее привлекавшегося к административной ответственности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главе 14 КоАП РФ,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01.02.2025 в 19:30 возле ул. Григория Кукуевицкого, г. Сургут установлено, что гр.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 У.Г.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транспортном средстве, государственный регистрационный знак, осуществлял коммерческую деятельность по перевозке пассажиров  на платной основе, денежные средства списались путем перевода водителю на карту, без государственной регистрации в качестве индивидуального предпринимателя и без специального разрешения на оказание услуг, за оказанные услуги брал с пассажиров денежные средства, пользовался мобильным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приложением, у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становленном в его сотовом телефоне, т.е. осуществлял предпринимательскую деятельность без государственной регистрации в качестве индивидуального предпринимателя в налоговом органе, в нарушение ч. 1 ст. 3 Федерального закона № 580-ФЗ «Об организации перевозок пассажиров и багажа легковым такси в РФ» от 29.12.2022, ответственность за которое предусмотрена частью 2 статьи 14.1 КоАП РФ.</w:t>
      </w:r>
    </w:p>
    <w:p w:rsidR="00A43130" w:rsidRPr="00F0585E" w:rsidP="00A431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Бутаев У.Г.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указал, </w:t>
      </w:r>
      <w:r w:rsidRPr="00F0585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работает со службой такси по заявкам, является самозанятым, не имеет разрешения на перевозку пассажиров, в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ину признал, в содеянном раскаялся. 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hAnsi="Times New Roman" w:cs="Times New Roman"/>
          <w:sz w:val="27"/>
          <w:szCs w:val="27"/>
          <w:lang w:eastAsia="ru-RU"/>
        </w:rPr>
        <w:t xml:space="preserve">Изучив материалы дела, заслушав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Бутаева У.Г.</w:t>
      </w:r>
      <w:r w:rsidRPr="00F0585E">
        <w:rPr>
          <w:rFonts w:ascii="Times New Roman" w:hAnsi="Times New Roman" w:cs="Times New Roman"/>
          <w:sz w:val="27"/>
          <w:szCs w:val="27"/>
          <w:lang w:eastAsia="ru-RU"/>
        </w:rPr>
        <w:t>, мировой судья приходит к следующему.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подтверждение виновности лица, привлекаемого к административной ответственности в совершении правонарушения суду представлены следующие доказательства: протокол об административном правонарушении 86 № 386165 от 03.03.2025; рапорт сотрудника полиции, объяснение привлекаемого лица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Бутаева У.Г.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; объяснения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копия водительского удостоверения, копия свидетельства о регистрации ТС, фототаблица телефона с данными приложения, копия справки по операции, сведения об отсутствии информации, содержащейся в едином государственном реестре индивидуальных предпринимателей; сведения из официального сайта налогового органа, сведения с официального сайта ФГИС «Такси», справка на физическое лицо.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Бутаева У.Г.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В действиях Бутаева У.Г. имеется состав административного правонарушения, предусмотренного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частью 2 статьи 14.1 КоАП РФ – о</w:t>
      </w:r>
      <w:r w:rsidRPr="00F0585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существление </w:t>
      </w:r>
      <w:r w:rsidRPr="00F0585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требованиями </w:t>
      </w:r>
      <w:hyperlink r:id="rId4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24.1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5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статьей 26.1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данного Кодекса.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Вывод суда о наличии в деянии Бутаева У.Г. состава административного правонарушения, предусмотренного </w:t>
      </w:r>
      <w:hyperlink r:id="rId6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2.1 статьи 14.16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правонарушениях, соответствует фактическим обстоятельствам дела и имеющимся доказательствам.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Действия Бутаева У.Г.</w:t>
      </w:r>
      <w:r w:rsidRPr="00F0585E">
        <w:rPr>
          <w:rFonts w:ascii="Times New Roman" w:eastAsia="Times New Roman" w:hAnsi="Times New Roman" w:cs="Times New Roman"/>
          <w:color w:val="0000FF"/>
          <w:sz w:val="27"/>
          <w:szCs w:val="27"/>
          <w:lang w:eastAsia="ar-SA"/>
        </w:rPr>
        <w:t xml:space="preserve">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квалифицированы в соответствии с установленными обстоятельствами, нормами </w:t>
      </w:r>
      <w:hyperlink r:id="rId7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Кодекса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Российской Федерации об административных правонарушениях и законодательства в области лицензирования отдельных видов деятельности.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соответствии с </w:t>
      </w:r>
      <w:hyperlink r:id="rId6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частью 2 статьи 14.1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0585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F0585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силу пункта 10 </w:t>
      </w:r>
      <w:hyperlink r:id="rId8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статьи </w:t>
        </w:r>
      </w:hyperlink>
      <w:r w:rsidRPr="00F0585E">
        <w:rPr>
          <w:rFonts w:ascii="Times New Roman" w:eastAsia="Times New Roman" w:hAnsi="Times New Roman" w:cs="Times New Roman"/>
          <w:color w:val="106BBE"/>
          <w:sz w:val="27"/>
          <w:szCs w:val="27"/>
          <w:lang w:eastAsia="ar-SA"/>
        </w:rPr>
        <w:t>2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Федерального закона 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от 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29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декабря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>2022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г. N 580-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ABB"/>
        </w:rPr>
        <w:t xml:space="preserve">ФЗ 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(далее – Закон) </w:t>
      </w:r>
      <w:r w:rsidRPr="00F0585E">
        <w:rPr>
          <w:rFonts w:ascii="Times New Roman" w:hAnsi="Times New Roman" w:cs="Times New Roman"/>
          <w:b/>
          <w:bCs/>
          <w:color w:val="22272F"/>
          <w:sz w:val="27"/>
          <w:szCs w:val="27"/>
          <w:shd w:val="clear" w:color="auto" w:fill="FFFFFF"/>
        </w:rPr>
        <w:t>разрешение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- электронный документ, предоставляющий в соответствии с </w:t>
      </w:r>
      <w:hyperlink r:id="rId9" w:anchor="/document/406052089/entry/301" w:history="1">
        <w:r w:rsidRPr="00F0585E">
          <w:rPr>
            <w:rFonts w:ascii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</w:rPr>
          <w:t>частью 1 статьи 3</w:t>
        </w:r>
      </w:hyperlink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настоящего Федерального закона право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такси.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части 1 статьи 3 Закона д</w:t>
      </w:r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еятельность по перевозке пассажиров и багажа легковым такси осуществляется на основании разрешения, предоставляемого юридическому лицу, индивидуальному предпринимателю или </w:t>
      </w:r>
      <w:hyperlink r:id="rId9" w:anchor="/document/406052089/entry/204" w:history="1">
        <w:r w:rsidRPr="00F0585E">
          <w:rPr>
            <w:rFonts w:ascii="Times New Roman" w:hAnsi="Times New Roman" w:cs="Times New Roman"/>
            <w:color w:val="3272C0"/>
            <w:sz w:val="27"/>
            <w:szCs w:val="27"/>
            <w:u w:val="single"/>
            <w:shd w:val="clear" w:color="auto" w:fill="FFFFFF"/>
          </w:rPr>
          <w:t>физическому лицу</w:t>
        </w:r>
      </w:hyperlink>
      <w:r w:rsidRPr="00F058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статье 24.5 КоАП РФ, исключающих производство по делу об административном правонарушении, не имеется.</w:t>
      </w:r>
    </w:p>
    <w:p w:rsidR="00A43130" w:rsidRPr="00F0585E" w:rsidP="00A431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 являются признание им вины, раскаяние в содеянном и наличие на его иждивении 3 малолетних детей. </w:t>
      </w:r>
    </w:p>
    <w:p w:rsidR="00A43130" w:rsidRPr="00F0585E" w:rsidP="00A431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Бутаева У.Г. обстоятельств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 не усматривает. 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Порядок и срок давности привлечения к административной ответственности Бутаева У.Г. соблюдены. Административное наказание судом назначается в пределах санкции </w:t>
      </w:r>
      <w:hyperlink r:id="rId6" w:history="1">
        <w:r w:rsidRPr="00F0585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ar-SA"/>
          </w:rPr>
          <w:t>части 2 статьи 14.1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Кодекса Российской Федерации об административных правонарушениях в минимальном размере штрафа, предусмотренного по санкции статьи, с учетом смягчающих вину привлекаемого обстоятельств.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Бутаева У.Г., его имущественное положение, обстоятельства совершения административного правонарушения, и полагает необходимым назначить Бутаеву У.Г. административное наказание в виде административного штрафа в минимальном размере, применяя данный вид наказания к нему как гражданину.</w:t>
      </w:r>
    </w:p>
    <w:p w:rsidR="00A43130" w:rsidRPr="00F0585E" w:rsidP="00A43130">
      <w:pPr>
        <w:ind w:firstLine="567"/>
        <w:jc w:val="both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Из буквального толкования </w:t>
      </w:r>
      <w:hyperlink r:id="rId9" w:anchor="/document/12125267/entry/24001" w:history="1">
        <w:r w:rsidRPr="00F0585E">
          <w:rPr>
            <w:rStyle w:val="Hyperlink"/>
            <w:rFonts w:ascii="PT Serif" w:hAnsi="PT Serif"/>
            <w:color w:val="3272C0"/>
            <w:sz w:val="27"/>
            <w:szCs w:val="27"/>
            <w:shd w:val="clear" w:color="auto" w:fill="FFFFFF"/>
          </w:rPr>
          <w:t>примечания</w:t>
        </w:r>
      </w:hyperlink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 к статье 2.4 КоАП РФ, следует, что 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лица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, осуществляющие предпринимательскую деятельность без образования юридического 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лица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, совершившие административные правонарушения, несут  административную 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ответственность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 как 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должностные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 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лица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, а поскольку 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самозанятые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 в осуществляют свою деятельность на профессиональной основе и, как следствие, должны нести более высокую </w:t>
      </w:r>
      <w:r w:rsidRPr="00F0585E">
        <w:rPr>
          <w:rStyle w:val="Emphasis"/>
          <w:rFonts w:ascii="PT Serif" w:hAnsi="PT Serif"/>
          <w:i w:val="0"/>
          <w:iCs w:val="0"/>
          <w:color w:val="22272F"/>
          <w:sz w:val="27"/>
          <w:szCs w:val="27"/>
          <w:shd w:val="clear" w:color="auto" w:fill="FFFFFF"/>
        </w:rPr>
        <w:t>ответственность</w:t>
      </w: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>.</w:t>
      </w:r>
    </w:p>
    <w:p w:rsidR="00A43130" w:rsidRPr="00F0585E" w:rsidP="00A43130">
      <w:pPr>
        <w:ind w:firstLine="567"/>
        <w:jc w:val="both"/>
        <w:rPr>
          <w:rFonts w:ascii="PT Serif" w:hAnsi="PT Serif"/>
          <w:color w:val="22272F"/>
          <w:sz w:val="27"/>
          <w:szCs w:val="27"/>
        </w:rPr>
      </w:pPr>
      <w:r w:rsidRPr="00F0585E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Между тем, что административное наказание следует назначать Бутаеву У.Г. как гражданину, поскольку несмотря на то, что он является физическим лицом в качестве налогоплательщика налога на профессиональный доход (самозанятым), </w:t>
      </w:r>
      <w:r w:rsidRPr="00F0585E">
        <w:rPr>
          <w:rFonts w:ascii="PT Serif" w:hAnsi="PT Serif"/>
          <w:color w:val="22272F"/>
          <w:sz w:val="27"/>
          <w:szCs w:val="27"/>
        </w:rPr>
        <w:t>самозанятый гражданин, не зарегистрированный как ИП, не сможет получить разрешение на осуществление деятельности по перевозке пассажиров и багажа легковым такси.</w:t>
      </w:r>
    </w:p>
    <w:p w:rsidR="00A43130" w:rsidRPr="00F0585E" w:rsidP="00A43130">
      <w:pPr>
        <w:pStyle w:val="s1"/>
        <w:shd w:val="clear" w:color="auto" w:fill="FFFFFF"/>
        <w:ind w:firstLine="567"/>
        <w:jc w:val="both"/>
        <w:rPr>
          <w:rFonts w:ascii="PT Serif" w:hAnsi="PT Serif"/>
          <w:color w:val="22272F"/>
          <w:sz w:val="27"/>
          <w:szCs w:val="27"/>
        </w:rPr>
      </w:pPr>
      <w:r w:rsidRPr="00F0585E">
        <w:rPr>
          <w:rFonts w:ascii="PT Serif" w:hAnsi="PT Serif"/>
          <w:color w:val="22272F"/>
          <w:sz w:val="27"/>
          <w:szCs w:val="27"/>
        </w:rPr>
        <w:t>На основании </w:t>
      </w:r>
      <w:hyperlink r:id="rId9" w:anchor="/document/76817097/entry/901" w:history="1">
        <w:r w:rsidRPr="00F0585E">
          <w:rPr>
            <w:rStyle w:val="Hyperlink"/>
            <w:rFonts w:ascii="PT Serif" w:hAnsi="PT Serif"/>
            <w:color w:val="3272C0"/>
            <w:sz w:val="27"/>
            <w:szCs w:val="27"/>
          </w:rPr>
          <w:t>чч. 1</w:t>
        </w:r>
      </w:hyperlink>
      <w:r w:rsidRPr="00F0585E">
        <w:rPr>
          <w:rFonts w:ascii="PT Serif" w:hAnsi="PT Serif"/>
          <w:color w:val="22272F"/>
          <w:sz w:val="27"/>
          <w:szCs w:val="27"/>
        </w:rPr>
        <w:t>, </w:t>
      </w:r>
      <w:hyperlink r:id="rId9" w:anchor="/document/76817097/entry/902" w:history="1">
        <w:r w:rsidRPr="00F0585E">
          <w:rPr>
            <w:rStyle w:val="Hyperlink"/>
            <w:rFonts w:ascii="PT Serif" w:hAnsi="PT Serif"/>
            <w:color w:val="3272C0"/>
            <w:sz w:val="27"/>
            <w:szCs w:val="27"/>
          </w:rPr>
          <w:t>2 ст. 9</w:t>
        </w:r>
      </w:hyperlink>
      <w:r w:rsidRPr="00F0585E">
        <w:rPr>
          <w:rFonts w:ascii="PT Serif" w:hAnsi="PT Serif"/>
          <w:color w:val="22272F"/>
          <w:sz w:val="27"/>
          <w:szCs w:val="27"/>
        </w:rPr>
        <w:t> Федерального закона от 21.04.2011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Разрешение выдается при наличии у юридического лица или индивидуального предпринимателя на праве собственности, праве хозяйственного ведения либо на основании договора лизинга или договора аренды транспортных средств, предназначенных для оказания услуг по перевозке пассажиров и багажа легковым такси.</w:t>
      </w:r>
    </w:p>
    <w:p w:rsidR="00A43130" w:rsidRPr="00F0585E" w:rsidP="00A43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85E">
        <w:rPr>
          <w:rFonts w:ascii="Times New Roman" w:hAnsi="Times New Roman" w:cs="Times New Roman"/>
          <w:sz w:val="27"/>
          <w:szCs w:val="27"/>
        </w:rPr>
        <w:t xml:space="preserve">Ввиду того, что транспортное средство - автомобиль, которым управлял Бутаев У.Г.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Киа, государственный регистрационный знак А441ЕС186</w:t>
      </w:r>
      <w:r w:rsidRPr="00F0585E">
        <w:rPr>
          <w:rFonts w:ascii="Times New Roman" w:hAnsi="Times New Roman" w:cs="Times New Roman"/>
          <w:sz w:val="27"/>
          <w:szCs w:val="27"/>
        </w:rPr>
        <w:t xml:space="preserve">, является орудием совершения административного правонарушения, однако доказательств того, что оно находится в собственности Бутаева У.Г. не предоставлено, суд полагает, что в данном </w:t>
      </w:r>
      <w:r w:rsidRPr="00F0585E">
        <w:rPr>
          <w:rFonts w:ascii="Times New Roman" w:hAnsi="Times New Roman" w:cs="Times New Roman"/>
          <w:sz w:val="27"/>
          <w:szCs w:val="27"/>
        </w:rPr>
        <w:t xml:space="preserve">случае конфискацию в качестве дополнительного вида наказания к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Бутаеву У.Г. </w:t>
      </w:r>
      <w:r w:rsidRPr="00F0585E">
        <w:rPr>
          <w:rFonts w:ascii="Times New Roman" w:hAnsi="Times New Roman" w:cs="Times New Roman"/>
          <w:sz w:val="27"/>
          <w:szCs w:val="27"/>
        </w:rPr>
        <w:t xml:space="preserve">применить невозможно.  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выше изложенного, руководствуясь статьями 29.9 - 29.11 КоАП РФ, мировой судья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Бутаева Умеджона Гуломжоновича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ч. 2 ст. 14.1 КоАП РФ и подвергнуть его административному наказанию в виде административного штрафа в размере 2000 (двух тысяч) рублей </w:t>
      </w:r>
      <w:r w:rsidRPr="00F0585E">
        <w:rPr>
          <w:rFonts w:ascii="Times New Roman" w:hAnsi="Times New Roman" w:cs="Times New Roman"/>
          <w:sz w:val="27"/>
          <w:szCs w:val="27"/>
        </w:rPr>
        <w:t>без конфискации орудия совершения административного правонарушения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3130" w:rsidRPr="00F0585E" w:rsidP="00A43130">
      <w:pPr>
        <w:suppressAutoHyphens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Разъяснить Бутаеву Умеджону Гуломжоновичу следующие положения: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- сумму административного штрафа необходимо оплачивать по следующим реквизитам: получатель: лицевой счет Управления федерального казначейства по Ханты-Мансийскому автономному округу – Югре (Администрация города Сургута л/с 04872D08200), ЕКС № 40102810245370000007, КС 03100643000000018700, Банк: РКЦ Ханты-Мансийск//УФК по Ханты-Мансийскому автономному округу-Югре г. Ханты-Мансийск, БИК 007162163, ОКТМО 71876000, ИНН 8602020249, КПП 860201001, КБК 72011601143010102140, УИН 0412365400595002802514118.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копию квитанции об оплате административного штрафа необходимо представить по адресу: г. Сургут ул. Гагарина д. 9 каб. 209  либо 210 либо по электронной почте </w:t>
      </w:r>
      <w:hyperlink r:id="rId10" w:history="1">
        <w:r w:rsidRPr="00F058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ar-SA"/>
          </w:rPr>
          <w:t>s</w:t>
        </w:r>
        <w:r w:rsidRPr="00F0585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ar-SA"/>
          </w:rPr>
          <w:t>urgut4@mirsud86.ru</w:t>
        </w:r>
      </w:hyperlink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 пометкой «к делу №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ru-RU"/>
        </w:rPr>
        <w:t>05-0280/2604/2025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»;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43130" w:rsidRPr="00F0585E" w:rsidP="00A431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43130" w:rsidRPr="00F0585E" w:rsidP="00A43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3130" w:rsidRPr="00F0585E" w:rsidP="00A43130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Мировой судья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</w:t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F0585E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            Н.В. Разумная</w:t>
      </w:r>
    </w:p>
    <w:p w:rsidR="00A43130" w:rsidRPr="00F0585E" w:rsidP="00A43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3130" w:rsidRPr="00F0585E" w:rsidP="00A43130">
      <w:pPr>
        <w:rPr>
          <w:sz w:val="27"/>
          <w:szCs w:val="27"/>
        </w:rPr>
      </w:pPr>
    </w:p>
    <w:p w:rsidR="00A531BF"/>
    <w:sectPr w:rsidSect="002E4EFA">
      <w:headerReference w:type="default" r:id="rId11"/>
      <w:pgSz w:w="12240" w:h="15840"/>
      <w:pgMar w:top="284" w:right="760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476" w:rsidP="0077551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30"/>
    <w:rsid w:val="000F6476"/>
    <w:rsid w:val="0077551C"/>
    <w:rsid w:val="00A43130"/>
    <w:rsid w:val="00A531BF"/>
    <w:rsid w:val="00F05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7017E5-A661-4C22-BF20-2E36BB89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4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43130"/>
  </w:style>
  <w:style w:type="paragraph" w:customStyle="1" w:styleId="s1">
    <w:name w:val="s_1"/>
    <w:basedOn w:val="Normal"/>
    <w:rsid w:val="00A4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1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3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urgut4@mirsud86.ru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25267.261" TargetMode="External" /><Relationship Id="rId6" Type="http://schemas.openxmlformats.org/officeDocument/2006/relationships/hyperlink" Target="garantF1://12025267.14162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5660739.16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